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firstLine="800" w:firstLineChars="200"/>
        <w:rPr>
          <w:rFonts w:hint="eastAsia" w:cs="宋体"/>
          <w:b w:val="0"/>
          <w:kern w:val="0"/>
          <w:sz w:val="40"/>
          <w:szCs w:val="40"/>
          <w:lang w:val="en-US" w:eastAsia="zh-CN" w:bidi="ar-SA"/>
        </w:rPr>
      </w:pPr>
    </w:p>
    <w:p>
      <w:pPr>
        <w:bidi w:val="0"/>
        <w:ind w:firstLine="800" w:firstLineChars="200"/>
        <w:rPr>
          <w:rFonts w:hint="eastAsia" w:cs="宋体"/>
          <w:b w:val="0"/>
          <w:kern w:val="0"/>
          <w:sz w:val="40"/>
          <w:szCs w:val="40"/>
          <w:lang w:val="en-US" w:eastAsia="zh-CN" w:bidi="ar-SA"/>
        </w:rPr>
      </w:pPr>
    </w:p>
    <w:p>
      <w:pPr>
        <w:bidi w:val="0"/>
        <w:ind w:firstLine="800" w:firstLineChars="200"/>
        <w:rPr>
          <w:rFonts w:hint="eastAsia" w:cs="宋体"/>
          <w:b w:val="0"/>
          <w:kern w:val="0"/>
          <w:sz w:val="40"/>
          <w:szCs w:val="40"/>
          <w:lang w:val="en-US" w:eastAsia="zh-CN" w:bidi="ar-SA"/>
        </w:rPr>
      </w:pPr>
    </w:p>
    <w:p>
      <w:pPr>
        <w:bidi w:val="0"/>
        <w:ind w:left="0" w:leftChars="0" w:firstLine="0" w:firstLineChars="0"/>
        <w:jc w:val="center"/>
        <w:rPr>
          <w:rFonts w:hint="eastAsia" w:cs="宋体"/>
          <w:b w:val="0"/>
          <w:kern w:val="0"/>
          <w:sz w:val="40"/>
          <w:szCs w:val="40"/>
          <w:lang w:val="en-US" w:eastAsia="zh-CN" w:bidi="ar-SA"/>
        </w:rPr>
      </w:pPr>
      <w:r>
        <w:rPr>
          <w:rFonts w:hint="eastAsia" w:cs="宋体"/>
          <w:b w:val="0"/>
          <w:kern w:val="0"/>
          <w:sz w:val="40"/>
          <w:szCs w:val="40"/>
          <w:lang w:val="en-US" w:eastAsia="zh-CN" w:bidi="ar-SA"/>
        </w:rPr>
        <w:t>济宁市专业技术人员继续教育公需科目</w:t>
      </w:r>
    </w:p>
    <w:p>
      <w:pPr>
        <w:bidi w:val="0"/>
        <w:jc w:val="center"/>
        <w:rPr>
          <w:rFonts w:hint="eastAsia" w:cs="宋体"/>
          <w:b w:val="0"/>
          <w:kern w:val="0"/>
          <w:sz w:val="40"/>
          <w:szCs w:val="40"/>
          <w:lang w:val="en-US" w:eastAsia="zh-CN" w:bidi="ar-SA"/>
        </w:rPr>
      </w:pPr>
      <w:r>
        <w:rPr>
          <w:rFonts w:hint="eastAsia" w:cs="宋体"/>
          <w:b w:val="0"/>
          <w:kern w:val="0"/>
          <w:sz w:val="40"/>
          <w:szCs w:val="40"/>
          <w:lang w:val="en-US" w:eastAsia="zh-CN" w:bidi="ar-SA"/>
        </w:rPr>
        <w:t>培训学习操作指南</w:t>
      </w:r>
    </w:p>
    <w:p>
      <w:pPr>
        <w:rPr>
          <w:rFonts w:hint="eastAsia" w:cs="宋体"/>
          <w:b w:val="0"/>
          <w:kern w:val="0"/>
          <w:sz w:val="40"/>
          <w:szCs w:val="40"/>
          <w:lang w:val="en-US" w:eastAsia="zh-CN" w:bidi="ar-SA"/>
        </w:rPr>
      </w:pPr>
      <w:r>
        <w:rPr>
          <w:rFonts w:hint="eastAsia" w:cs="宋体"/>
          <w:b w:val="0"/>
          <w:kern w:val="0"/>
          <w:sz w:val="40"/>
          <w:szCs w:val="40"/>
          <w:lang w:val="en-US" w:eastAsia="zh-CN" w:bidi="ar-SA"/>
        </w:rPr>
        <w:br w:type="page"/>
      </w:r>
    </w:p>
    <w:p>
      <w:pPr>
        <w:bidi w:val="0"/>
        <w:ind w:firstLine="1200" w:firstLineChars="300"/>
        <w:rPr>
          <w:rFonts w:hint="eastAsia" w:cs="宋体"/>
          <w:b w:val="0"/>
          <w:kern w:val="0"/>
          <w:sz w:val="40"/>
          <w:szCs w:val="40"/>
          <w:lang w:val="en-US" w:eastAsia="zh-CN" w:bidi="ar-SA"/>
        </w:rPr>
      </w:pPr>
    </w:p>
    <w:p>
      <w:pPr>
        <w:pStyle w:val="2"/>
        <w:bidi w:val="0"/>
        <w:rPr>
          <w:rFonts w:hint="eastAsia"/>
          <w:lang w:val="en-US" w:eastAsia="zh-CN"/>
        </w:rPr>
      </w:pPr>
      <w:r>
        <w:rPr>
          <w:rFonts w:hint="eastAsia"/>
          <w:lang w:val="en-US" w:eastAsia="zh-CN"/>
        </w:rPr>
        <w:t>1.个人登录</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left"/>
        <w:textAlignment w:val="auto"/>
        <w:rPr>
          <w:rFonts w:hint="eastAsia" w:ascii="宋体" w:hAnsi="宋体" w:eastAsia="宋体" w:cs="宋体"/>
          <w:lang w:val="en-US" w:eastAsia="zh-CN"/>
        </w:rPr>
      </w:pPr>
      <w:r>
        <w:rPr>
          <w:rFonts w:hint="eastAsia" w:ascii="宋体" w:hAnsi="宋体" w:eastAsia="宋体" w:cs="宋体"/>
          <w:sz w:val="28"/>
          <w:szCs w:val="28"/>
          <w:highlight w:val="none"/>
          <w:lang w:val="en-US" w:eastAsia="zh-CN" w:bidi="ar-SA"/>
        </w:rPr>
        <w:t>在系统首页，用户</w:t>
      </w:r>
      <w:r>
        <w:rPr>
          <w:rFonts w:hint="eastAsia" w:ascii="宋体" w:hAnsi="宋体" w:eastAsia="宋体" w:cs="宋体"/>
          <w:sz w:val="28"/>
          <w:szCs w:val="28"/>
          <w:lang w:val="en-US" w:eastAsia="zh-CN" w:bidi="ar-SA"/>
        </w:rPr>
        <w:t>类型中选择“</w:t>
      </w:r>
      <w:r>
        <w:rPr>
          <w:rFonts w:hint="eastAsia" w:ascii="宋体" w:hAnsi="宋体" w:eastAsia="宋体" w:cs="宋体"/>
          <w:color w:val="FF0000"/>
          <w:sz w:val="28"/>
          <w:szCs w:val="28"/>
          <w:lang w:val="en-US" w:eastAsia="zh-CN" w:bidi="ar-SA"/>
        </w:rPr>
        <w:t>专业技术人员</w:t>
      </w:r>
      <w:r>
        <w:rPr>
          <w:rFonts w:hint="eastAsia" w:ascii="宋体" w:hAnsi="宋体" w:eastAsia="宋体" w:cs="宋体"/>
          <w:sz w:val="28"/>
          <w:szCs w:val="28"/>
          <w:lang w:val="en-US" w:eastAsia="zh-CN" w:bidi="ar-SA"/>
        </w:rPr>
        <w:t>”，依次录入注册的证件号、密码，在验证码录入框中录入右侧图片中的验证码，点登录即可。如下图所示：</w:t>
      </w:r>
      <w:r>
        <w:drawing>
          <wp:inline distT="0" distB="0" distL="114300" distR="114300">
            <wp:extent cx="5280025" cy="2544445"/>
            <wp:effectExtent l="9525" t="9525" r="25400"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
                    <a:stretch>
                      <a:fillRect/>
                    </a:stretch>
                  </pic:blipFill>
                  <pic:spPr>
                    <a:xfrm>
                      <a:off x="0" y="0"/>
                      <a:ext cx="5280025" cy="2544445"/>
                    </a:xfrm>
                    <a:prstGeom prst="rect">
                      <a:avLst/>
                    </a:prstGeom>
                    <a:noFill/>
                    <a:ln>
                      <a:solidFill>
                        <a:schemeClr val="accent1"/>
                      </a:solidFill>
                    </a:ln>
                  </pic:spPr>
                </pic:pic>
              </a:graphicData>
            </a:graphic>
          </wp:inline>
        </w:drawing>
      </w:r>
    </w:p>
    <w:p>
      <w:pPr>
        <w:numPr>
          <w:numId w:val="0"/>
        </w:numPr>
        <w:bidi w:val="0"/>
        <w:ind w:right="0" w:rightChars="0" w:firstLine="560" w:firstLineChars="200"/>
        <w:jc w:val="left"/>
        <w:rPr>
          <w:rFonts w:hint="eastAsia"/>
          <w:lang w:val="en-US" w:eastAsia="zh-CN"/>
        </w:rPr>
      </w:pPr>
    </w:p>
    <w:p>
      <w:pPr>
        <w:pStyle w:val="2"/>
        <w:bidi w:val="0"/>
        <w:rPr>
          <w:rFonts w:hint="eastAsia"/>
          <w:lang w:val="en-US" w:eastAsia="zh-CN"/>
        </w:rPr>
      </w:pPr>
      <w:r>
        <w:rPr>
          <w:rFonts w:hint="eastAsia"/>
          <w:lang w:val="en-US" w:eastAsia="zh-CN"/>
        </w:rPr>
        <w:t>2.选择公需科目培训入口</w:t>
      </w:r>
    </w:p>
    <w:p>
      <w:pPr>
        <w:numPr>
          <w:numId w:val="0"/>
        </w:numPr>
        <w:bidi w:val="0"/>
        <w:ind w:right="0" w:rightChars="0" w:firstLine="560" w:firstLineChars="200"/>
        <w:jc w:val="left"/>
        <w:rPr>
          <w:rFonts w:hint="eastAsia" w:cs="宋体"/>
          <w:b w:val="0"/>
          <w:kern w:val="0"/>
          <w:sz w:val="28"/>
          <w:szCs w:val="28"/>
          <w:lang w:val="en-US" w:eastAsia="zh-CN" w:bidi="ar-SA"/>
        </w:rPr>
      </w:pPr>
      <w:r>
        <w:rPr>
          <w:rFonts w:hint="eastAsia"/>
          <w:lang w:val="en-US" w:eastAsia="zh-CN"/>
        </w:rPr>
        <w:t>此模块是为方便专业技术人员学习而设计，点击公需课科目培训平台即可计入公需科目培训学习或点击首页进入门户点击公需科目培训也可进入公需科目培训学习。</w:t>
      </w:r>
      <w:r>
        <w:drawing>
          <wp:inline distT="0" distB="0" distL="114300" distR="114300">
            <wp:extent cx="5244465" cy="1394460"/>
            <wp:effectExtent l="9525" t="9525" r="22860" b="247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5"/>
                    <a:srcRect b="42226"/>
                    <a:stretch>
                      <a:fillRect/>
                    </a:stretch>
                  </pic:blipFill>
                  <pic:spPr>
                    <a:xfrm>
                      <a:off x="0" y="0"/>
                      <a:ext cx="5244465" cy="1394460"/>
                    </a:xfrm>
                    <a:prstGeom prst="rect">
                      <a:avLst/>
                    </a:prstGeom>
                    <a:noFill/>
                    <a:ln>
                      <a:solidFill>
                        <a:schemeClr val="accent1"/>
                      </a:solidFill>
                    </a:ln>
                  </pic:spPr>
                </pic:pic>
              </a:graphicData>
            </a:graphic>
          </wp:inline>
        </w:drawing>
      </w:r>
      <w:r>
        <w:drawing>
          <wp:inline distT="0" distB="0" distL="114300" distR="114300">
            <wp:extent cx="5340985" cy="1380490"/>
            <wp:effectExtent l="9525" t="9525" r="21590" b="1968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6"/>
                    <a:stretch>
                      <a:fillRect/>
                    </a:stretch>
                  </pic:blipFill>
                  <pic:spPr>
                    <a:xfrm>
                      <a:off x="0" y="0"/>
                      <a:ext cx="5340985" cy="1380490"/>
                    </a:xfrm>
                    <a:prstGeom prst="rect">
                      <a:avLst/>
                    </a:prstGeom>
                    <a:noFill/>
                    <a:ln>
                      <a:solidFill>
                        <a:schemeClr val="accent1"/>
                      </a:solidFill>
                    </a:ln>
                  </pic:spPr>
                </pic:pic>
              </a:graphicData>
            </a:graphic>
          </wp:inline>
        </w:drawing>
      </w:r>
    </w:p>
    <w:p>
      <w:pPr>
        <w:pStyle w:val="2"/>
        <w:numPr>
          <w:ilvl w:val="0"/>
          <w:numId w:val="1"/>
        </w:numPr>
        <w:bidi w:val="0"/>
        <w:rPr>
          <w:rFonts w:hint="eastAsia"/>
          <w:lang w:val="en-US" w:eastAsia="zh-CN"/>
        </w:rPr>
      </w:pPr>
      <w:r>
        <w:rPr>
          <w:rFonts w:hint="eastAsia"/>
          <w:lang w:val="en-US" w:eastAsia="zh-CN"/>
        </w:rPr>
        <w:t>进入公需课培训平台</w:t>
      </w:r>
    </w:p>
    <w:p>
      <w:pPr>
        <w:numPr>
          <w:numId w:val="0"/>
        </w:numPr>
        <w:bidi w:val="0"/>
        <w:ind w:right="0" w:rightChars="0"/>
      </w:pPr>
      <w:r>
        <w:drawing>
          <wp:inline distT="0" distB="0" distL="114300" distR="114300">
            <wp:extent cx="5270500" cy="2923540"/>
            <wp:effectExtent l="9525" t="9525" r="15875"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0500" cy="2923540"/>
                    </a:xfrm>
                    <a:prstGeom prst="rect">
                      <a:avLst/>
                    </a:prstGeom>
                    <a:noFill/>
                    <a:ln>
                      <a:solidFill>
                        <a:schemeClr val="accent1"/>
                      </a:solidFill>
                    </a:ln>
                  </pic:spPr>
                </pic:pic>
              </a:graphicData>
            </a:graphic>
          </wp:inline>
        </w:drawing>
      </w:r>
    </w:p>
    <w:p>
      <w:pPr>
        <w:numPr>
          <w:numId w:val="0"/>
        </w:numPr>
        <w:bidi w:val="0"/>
        <w:ind w:right="0" w:rightChars="0"/>
        <w:rPr>
          <w:rFonts w:hint="default"/>
          <w:lang w:val="en-US" w:eastAsia="zh-CN"/>
        </w:rPr>
      </w:pPr>
      <w:r>
        <w:drawing>
          <wp:inline distT="0" distB="0" distL="114300" distR="114300">
            <wp:extent cx="5273675" cy="3723640"/>
            <wp:effectExtent l="9525" t="9525" r="12700" b="196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3675" cy="3723640"/>
                    </a:xfrm>
                    <a:prstGeom prst="rect">
                      <a:avLst/>
                    </a:prstGeom>
                    <a:noFill/>
                    <a:ln>
                      <a:solidFill>
                        <a:schemeClr val="accent1"/>
                      </a:solidFill>
                    </a:ln>
                  </pic:spPr>
                </pic:pic>
              </a:graphicData>
            </a:graphic>
          </wp:inline>
        </w:drawing>
      </w:r>
    </w:p>
    <w:p>
      <w:pPr>
        <w:numPr>
          <w:numId w:val="0"/>
        </w:numPr>
        <w:bidi w:val="0"/>
        <w:ind w:right="0" w:rightChars="0" w:firstLine="560" w:firstLineChars="200"/>
        <w:jc w:val="left"/>
        <w:rPr>
          <w:rFonts w:hint="eastAsia" w:ascii="宋体" w:hAnsi="宋体" w:eastAsia="宋体" w:cs="宋体"/>
          <w:i w:val="0"/>
          <w:caps w:val="0"/>
          <w:color w:val="333333"/>
          <w:spacing w:val="0"/>
          <w:sz w:val="19"/>
          <w:szCs w:val="19"/>
          <w:lang w:val="en-US"/>
        </w:rPr>
      </w:pPr>
      <w:r>
        <w:rPr>
          <w:rFonts w:hint="eastAsia" w:ascii="宋体" w:hAnsi="宋体" w:eastAsia="宋体" w:cs="宋体"/>
          <w:b w:val="0"/>
          <w:kern w:val="0"/>
          <w:sz w:val="28"/>
          <w:szCs w:val="28"/>
          <w:lang w:val="en-US" w:eastAsia="zh-CN" w:bidi="ar-SA"/>
        </w:rPr>
        <w:t>专业技术人</w:t>
      </w:r>
      <w:r>
        <w:rPr>
          <w:rFonts w:hint="eastAsia" w:ascii="宋体" w:hAnsi="宋体" w:eastAsia="宋体" w:cs="宋体"/>
          <w:b w:val="0"/>
          <w:kern w:val="0"/>
          <w:sz w:val="28"/>
          <w:szCs w:val="28"/>
          <w:highlight w:val="none"/>
          <w:lang w:val="en-US" w:eastAsia="zh-CN" w:bidi="ar-SA"/>
        </w:rPr>
        <w:t>员</w:t>
      </w:r>
      <w:r>
        <w:rPr>
          <w:rFonts w:hint="eastAsia" w:cs="宋体"/>
          <w:b w:val="0"/>
          <w:kern w:val="0"/>
          <w:sz w:val="28"/>
          <w:szCs w:val="28"/>
          <w:highlight w:val="none"/>
          <w:lang w:val="en-US" w:eastAsia="zh-CN" w:bidi="ar-SA"/>
        </w:rPr>
        <w:t>进入培训平台</w:t>
      </w:r>
      <w:r>
        <w:rPr>
          <w:rFonts w:hint="eastAsia" w:ascii="宋体" w:hAnsi="宋体" w:eastAsia="宋体" w:cs="宋体"/>
          <w:b w:val="0"/>
          <w:kern w:val="0"/>
          <w:sz w:val="28"/>
          <w:szCs w:val="28"/>
          <w:highlight w:val="none"/>
          <w:lang w:val="en-US" w:eastAsia="zh-CN" w:bidi="ar-SA"/>
        </w:rPr>
        <w:t>后，</w:t>
      </w:r>
      <w:r>
        <w:rPr>
          <w:rFonts w:hint="eastAsia" w:ascii="宋体" w:hAnsi="宋体" w:eastAsia="宋体" w:cs="宋体"/>
          <w:b w:val="0"/>
          <w:kern w:val="0"/>
          <w:sz w:val="28"/>
          <w:szCs w:val="28"/>
          <w:lang w:val="en-US" w:eastAsia="zh-CN" w:bidi="ar-SA"/>
        </w:rPr>
        <w:t>点击所需班级进行培训，如“</w:t>
      </w:r>
      <w:r>
        <w:rPr>
          <w:rFonts w:hint="eastAsia" w:ascii="宋体" w:hAnsi="宋体" w:eastAsia="宋体" w:cs="宋体"/>
          <w:b w:val="0"/>
          <w:kern w:val="0"/>
          <w:sz w:val="28"/>
          <w:szCs w:val="28"/>
          <w:lang w:val="en-US" w:eastAsia="zh-CN" w:bidi="ar-SA"/>
        </w:rPr>
        <w:fldChar w:fldCharType="begin"/>
      </w:r>
      <w:r>
        <w:rPr>
          <w:rFonts w:hint="eastAsia" w:ascii="宋体" w:hAnsi="宋体" w:eastAsia="宋体" w:cs="宋体"/>
          <w:b w:val="0"/>
          <w:kern w:val="0"/>
          <w:sz w:val="28"/>
          <w:szCs w:val="28"/>
          <w:lang w:val="en-US" w:eastAsia="zh-CN" w:bidi="ar-SA"/>
        </w:rPr>
        <w:instrText xml:space="preserve"> HYPERLINK "http://sdjn.gxk.yxlearning.com/javascript:void(0)" \o "2020年度济宁市专业技术人员公需科目培训班" </w:instrText>
      </w:r>
      <w:r>
        <w:rPr>
          <w:rFonts w:hint="eastAsia" w:ascii="宋体" w:hAnsi="宋体" w:eastAsia="宋体" w:cs="宋体"/>
          <w:b w:val="0"/>
          <w:kern w:val="0"/>
          <w:sz w:val="28"/>
          <w:szCs w:val="28"/>
          <w:lang w:val="en-US" w:eastAsia="zh-CN" w:bidi="ar-SA"/>
        </w:rPr>
        <w:fldChar w:fldCharType="separate"/>
      </w:r>
      <w:r>
        <w:rPr>
          <w:rFonts w:hint="eastAsia" w:ascii="宋体" w:hAnsi="宋体" w:eastAsia="宋体" w:cs="宋体"/>
          <w:b w:val="0"/>
          <w:kern w:val="0"/>
          <w:sz w:val="28"/>
          <w:szCs w:val="28"/>
          <w:lang w:val="en-US" w:eastAsia="zh-CN" w:bidi="ar-SA"/>
        </w:rPr>
        <w:t>2020年度济宁市专业技术人员公需科目培训班</w:t>
      </w:r>
      <w:r>
        <w:rPr>
          <w:rFonts w:hint="eastAsia" w:ascii="宋体" w:hAnsi="宋体" w:eastAsia="宋体" w:cs="宋体"/>
          <w:b w:val="0"/>
          <w:kern w:val="0"/>
          <w:sz w:val="28"/>
          <w:szCs w:val="28"/>
          <w:lang w:val="en-US" w:eastAsia="zh-CN" w:bidi="ar-SA"/>
        </w:rPr>
        <w:fldChar w:fldCharType="end"/>
      </w:r>
      <w:r>
        <w:rPr>
          <w:rFonts w:hint="eastAsia" w:ascii="宋体" w:hAnsi="宋体" w:eastAsia="宋体" w:cs="宋体"/>
          <w:b w:val="0"/>
          <w:kern w:val="0"/>
          <w:sz w:val="28"/>
          <w:szCs w:val="28"/>
          <w:lang w:val="en-US" w:eastAsia="zh-CN" w:bidi="ar-SA"/>
        </w:rPr>
        <w:t>”为必修班级，学完则抵扣20学时的公需课目，平台提供选修科目进行公需课的培训。</w:t>
      </w:r>
      <w:r>
        <w:rPr>
          <w:rFonts w:hint="eastAsia" w:cs="宋体"/>
          <w:b w:val="0"/>
          <w:kern w:val="0"/>
          <w:sz w:val="28"/>
          <w:szCs w:val="28"/>
          <w:lang w:val="en-US" w:eastAsia="zh-CN" w:bidi="ar-SA"/>
        </w:rPr>
        <w:t>如需补学请看下图：</w:t>
      </w:r>
      <w:r>
        <w:drawing>
          <wp:inline distT="0" distB="0" distL="114300" distR="114300">
            <wp:extent cx="5262880" cy="2428240"/>
            <wp:effectExtent l="9525" t="9525" r="23495" b="196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b="31087"/>
                    <a:stretch>
                      <a:fillRect/>
                    </a:stretch>
                  </pic:blipFill>
                  <pic:spPr>
                    <a:xfrm>
                      <a:off x="0" y="0"/>
                      <a:ext cx="5262880" cy="2428240"/>
                    </a:xfrm>
                    <a:prstGeom prst="rect">
                      <a:avLst/>
                    </a:prstGeom>
                    <a:noFill/>
                    <a:ln>
                      <a:solidFill>
                        <a:schemeClr val="accent1"/>
                      </a:solidFill>
                    </a:ln>
                  </pic:spPr>
                </pic:pic>
              </a:graphicData>
            </a:graphic>
          </wp:inline>
        </w:drawing>
      </w:r>
    </w:p>
    <w:p>
      <w:pPr>
        <w:numPr>
          <w:ilvl w:val="0"/>
          <w:numId w:val="1"/>
        </w:numPr>
        <w:ind w:left="0" w:leftChars="0" w:right="0" w:rightChars="0" w:firstLine="320" w:firstLineChars="100"/>
        <w:jc w:val="left"/>
        <w:rPr>
          <w:rStyle w:val="6"/>
          <w:rFonts w:hint="eastAsia"/>
          <w:lang w:val="en-US" w:eastAsia="zh-CN"/>
        </w:rPr>
      </w:pPr>
      <w:r>
        <w:rPr>
          <w:rStyle w:val="6"/>
          <w:rFonts w:hint="eastAsia"/>
          <w:lang w:val="en-US" w:eastAsia="zh-CN"/>
        </w:rPr>
        <w:t>课程报名</w:t>
      </w:r>
    </w:p>
    <w:p>
      <w:pPr>
        <w:numPr>
          <w:numId w:val="0"/>
        </w:numPr>
        <w:ind w:leftChars="100" w:right="0" w:rightChars="0" w:firstLine="560" w:firstLineChars="200"/>
        <w:jc w:val="left"/>
        <w:rPr>
          <w:rFonts w:hint="eastAsia"/>
          <w:lang w:eastAsia="zh-CN"/>
        </w:rPr>
      </w:pPr>
      <w:r>
        <w:rPr>
          <w:rFonts w:hint="eastAsia"/>
          <w:lang w:eastAsia="zh-CN"/>
        </w:rPr>
        <w:t>专业技术人员对课程进行报</w:t>
      </w:r>
    </w:p>
    <w:p>
      <w:pPr>
        <w:numPr>
          <w:numId w:val="0"/>
        </w:numPr>
        <w:ind w:right="0" w:rightChars="0"/>
        <w:jc w:val="left"/>
      </w:pPr>
      <w:r>
        <w:drawing>
          <wp:inline distT="0" distB="0" distL="114300" distR="114300">
            <wp:extent cx="5187950" cy="2647950"/>
            <wp:effectExtent l="9525" t="9525" r="222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b="35308"/>
                    <a:stretch>
                      <a:fillRect/>
                    </a:stretch>
                  </pic:blipFill>
                  <pic:spPr>
                    <a:xfrm>
                      <a:off x="0" y="0"/>
                      <a:ext cx="5187950" cy="2647950"/>
                    </a:xfrm>
                    <a:prstGeom prst="rect">
                      <a:avLst/>
                    </a:prstGeom>
                    <a:noFill/>
                    <a:ln>
                      <a:solidFill>
                        <a:schemeClr val="accent1"/>
                      </a:solidFill>
                    </a:ln>
                  </pic:spPr>
                </pic:pic>
              </a:graphicData>
            </a:graphic>
          </wp:inline>
        </w:drawing>
      </w:r>
    </w:p>
    <w:p>
      <w:pPr>
        <w:numPr>
          <w:ilvl w:val="0"/>
          <w:numId w:val="0"/>
        </w:numPr>
        <w:ind w:right="0" w:rightChars="0"/>
      </w:pPr>
      <w:r>
        <w:drawing>
          <wp:inline distT="0" distB="0" distL="114300" distR="114300">
            <wp:extent cx="5271770" cy="1593215"/>
            <wp:effectExtent l="9525" t="9525" r="14605"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1770" cy="1593215"/>
                    </a:xfrm>
                    <a:prstGeom prst="rect">
                      <a:avLst/>
                    </a:prstGeom>
                    <a:noFill/>
                    <a:ln>
                      <a:solidFill>
                        <a:schemeClr val="accent1"/>
                      </a:solidFill>
                    </a:ln>
                  </pic:spPr>
                </pic:pic>
              </a:graphicData>
            </a:graphic>
          </wp:inline>
        </w:drawing>
      </w:r>
    </w:p>
    <w:p>
      <w:pPr>
        <w:pStyle w:val="2"/>
        <w:numPr>
          <w:ilvl w:val="0"/>
          <w:numId w:val="1"/>
        </w:numPr>
        <w:bidi w:val="0"/>
        <w:ind w:left="0" w:leftChars="0" w:firstLine="320" w:firstLineChars="100"/>
        <w:rPr>
          <w:rFonts w:hint="eastAsia"/>
          <w:lang w:val="en-US" w:eastAsia="zh-CN"/>
        </w:rPr>
      </w:pPr>
      <w:r>
        <w:rPr>
          <w:rFonts w:hint="eastAsia"/>
          <w:lang w:val="en-US" w:eastAsia="zh-CN"/>
        </w:rPr>
        <w:t>课程学习</w:t>
      </w:r>
    </w:p>
    <w:p>
      <w:pPr>
        <w:rPr>
          <w:rFonts w:hint="eastAsia"/>
          <w:lang w:val="en-US" w:eastAsia="zh-CN"/>
        </w:rPr>
      </w:pPr>
      <w:r>
        <w:rPr>
          <w:rFonts w:hint="eastAsia"/>
          <w:lang w:val="en-US" w:eastAsia="zh-CN"/>
        </w:rPr>
        <w:t>专业技术人员对视频进行观看，看完后即可学习进度学满，学完后自动对接到个人年度完成情况。也可在学习档案里查看。</w:t>
      </w:r>
    </w:p>
    <w:p>
      <w:pPr>
        <w:numPr>
          <w:numId w:val="0"/>
        </w:numPr>
        <w:ind w:right="0" w:rightChars="0"/>
        <w:rPr>
          <w:rFonts w:hint="default"/>
          <w:lang w:val="en-US" w:eastAsia="zh-CN"/>
        </w:rPr>
      </w:pPr>
      <w:r>
        <w:drawing>
          <wp:inline distT="0" distB="0" distL="114300" distR="114300">
            <wp:extent cx="5269230" cy="4054475"/>
            <wp:effectExtent l="9525" t="9525" r="17145"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269230" cy="4054475"/>
                    </a:xfrm>
                    <a:prstGeom prst="rect">
                      <a:avLst/>
                    </a:prstGeom>
                    <a:noFill/>
                    <a:ln>
                      <a:solidFill>
                        <a:schemeClr val="accent1"/>
                      </a:solidFill>
                    </a:ln>
                  </pic:spPr>
                </pic:pic>
              </a:graphicData>
            </a:graphic>
          </wp:inline>
        </w:drawing>
      </w:r>
    </w:p>
    <w:p>
      <w:pPr>
        <w:numPr>
          <w:ilvl w:val="0"/>
          <w:numId w:val="0"/>
        </w:numPr>
        <w:ind w:right="0" w:rightChars="0"/>
        <w:rPr>
          <w:rFonts w:hint="eastAsia" w:ascii="宋体" w:hAnsi="宋体" w:eastAsia="宋体" w:cs="宋体"/>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both"/>
        <w:textAlignment w:val="auto"/>
        <w:rPr>
          <w:rFonts w:hint="eastAsia" w:ascii="宋体" w:hAnsi="宋体" w:eastAsia="宋体" w:cs="宋体"/>
          <w:b w:val="0"/>
          <w:kern w:val="0"/>
          <w:sz w:val="28"/>
          <w:szCs w:val="28"/>
          <w:lang w:val="en-US" w:eastAsia="zh-CN" w:bidi="ar-SA"/>
        </w:rPr>
      </w:pPr>
      <w:bookmarkStart w:id="0" w:name="_GoBack"/>
      <w:bookmarkEnd w:id="0"/>
      <w:r>
        <w:drawing>
          <wp:inline distT="0" distB="0" distL="114300" distR="114300">
            <wp:extent cx="5267325" cy="3810000"/>
            <wp:effectExtent l="9525" t="9525" r="1905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267325" cy="3810000"/>
                    </a:xfrm>
                    <a:prstGeom prst="rect">
                      <a:avLst/>
                    </a:prstGeom>
                    <a:noFill/>
                    <a:ln>
                      <a:solidFill>
                        <a:schemeClr val="accent1"/>
                      </a:solidFill>
                    </a:ln>
                  </pic:spPr>
                </pic:pic>
              </a:graphicData>
            </a:graphic>
          </wp:inline>
        </w:drawing>
      </w:r>
    </w:p>
    <w:p>
      <w:pPr>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2BBF58"/>
    <w:multiLevelType w:val="singleLevel"/>
    <w:tmpl w:val="C02BBF58"/>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E212489"/>
    <w:rsid w:val="5D1264E1"/>
    <w:rsid w:val="72B02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firstLine="560" w:firstLineChars="200"/>
      <w:jc w:val="both"/>
    </w:pPr>
    <w:rPr>
      <w:rFonts w:ascii="宋体" w:hAnsi="宋体" w:eastAsia="宋体" w:cs="宋体"/>
      <w:sz w:val="28"/>
      <w:szCs w:val="22"/>
      <w:lang w:val="en-US" w:eastAsia="zh-CN" w:bidi="ar-SA"/>
    </w:rPr>
  </w:style>
  <w:style w:type="paragraph" w:styleId="2">
    <w:name w:val="heading 1"/>
    <w:basedOn w:val="1"/>
    <w:next w:val="1"/>
    <w:link w:val="6"/>
    <w:qFormat/>
    <w:uiPriority w:val="0"/>
    <w:pPr>
      <w:keepNext/>
      <w:keepLines/>
      <w:spacing w:before="20" w:beforeLines="0" w:beforeAutospacing="0" w:after="20" w:afterLines="0" w:afterAutospacing="0" w:line="360" w:lineRule="auto"/>
      <w:ind w:firstLine="440" w:firstLineChars="100"/>
      <w:outlineLvl w:val="0"/>
    </w:pPr>
    <w:rPr>
      <w:rFonts w:eastAsia="华文仿宋"/>
      <w:b/>
      <w:kern w:val="44"/>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Noto Sans Mono CJK JP Bold" w:hAnsi="Noto Sans Mono CJK JP Bold" w:eastAsia="Noto Sans Mono CJK JP Bold" w:cs="Noto Sans Mono CJK JP Bold"/>
      <w:sz w:val="32"/>
      <w:szCs w:val="32"/>
      <w:lang w:val="en-US" w:eastAsia="zh-CN" w:bidi="ar-SA"/>
    </w:rPr>
  </w:style>
  <w:style w:type="character" w:customStyle="1" w:styleId="6">
    <w:name w:val="标题 1 Char"/>
    <w:link w:val="2"/>
    <w:uiPriority w:val="0"/>
    <w:rPr>
      <w:rFonts w:eastAsia="华文仿宋"/>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4825</cp:lastModifiedBy>
  <dcterms:modified xsi:type="dcterms:W3CDTF">2020-07-15T09:17:10Z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